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2B03" w14:textId="5B5C441A" w:rsidR="00084CFA" w:rsidRPr="002460B8" w:rsidRDefault="00084CFA" w:rsidP="002460B8">
      <w:pPr>
        <w:ind w:right="-428"/>
        <w:jc w:val="center"/>
        <w:rPr>
          <w:b/>
          <w:sz w:val="24"/>
          <w:szCs w:val="24"/>
        </w:rPr>
      </w:pPr>
      <w:bookmarkStart w:id="0" w:name="_Hlk510766323"/>
      <w:r w:rsidRPr="002460B8">
        <w:rPr>
          <w:b/>
          <w:sz w:val="24"/>
          <w:szCs w:val="24"/>
        </w:rPr>
        <w:t>BURMISTRZ  GMINY  CZEMPIŃ</w:t>
      </w:r>
    </w:p>
    <w:p w14:paraId="1FD6EC79" w14:textId="77777777" w:rsidR="00BC1E5A" w:rsidRPr="002460B8" w:rsidRDefault="00BC1E5A" w:rsidP="00084CFA">
      <w:pPr>
        <w:ind w:right="-428"/>
        <w:jc w:val="both"/>
        <w:rPr>
          <w:b/>
          <w:sz w:val="24"/>
          <w:szCs w:val="24"/>
        </w:rPr>
      </w:pPr>
    </w:p>
    <w:tbl>
      <w:tblPr>
        <w:tblpPr w:leftFromText="141" w:rightFromText="141" w:vertAnchor="text" w:horzAnchor="margin" w:tblpXSpec="center" w:tblpY="77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90"/>
        <w:gridCol w:w="992"/>
        <w:gridCol w:w="1418"/>
        <w:gridCol w:w="1549"/>
        <w:gridCol w:w="1569"/>
        <w:gridCol w:w="1276"/>
      </w:tblGrid>
      <w:tr w:rsidR="008E1440" w:rsidRPr="002460B8" w14:paraId="754658A7" w14:textId="77777777" w:rsidTr="00186BE5">
        <w:tc>
          <w:tcPr>
            <w:tcW w:w="567" w:type="dxa"/>
          </w:tcPr>
          <w:p w14:paraId="022FA6F6" w14:textId="72227018" w:rsidR="008E1440" w:rsidRPr="002460B8" w:rsidRDefault="008E1440" w:rsidP="008E1440">
            <w:pPr>
              <w:jc w:val="both"/>
              <w:rPr>
                <w:sz w:val="22"/>
                <w:szCs w:val="22"/>
              </w:rPr>
            </w:pPr>
            <w:r w:rsidRPr="002460B8">
              <w:rPr>
                <w:sz w:val="22"/>
                <w:szCs w:val="22"/>
              </w:rPr>
              <w:t>Lp.</w:t>
            </w:r>
          </w:p>
        </w:tc>
        <w:tc>
          <w:tcPr>
            <w:tcW w:w="1990" w:type="dxa"/>
          </w:tcPr>
          <w:p w14:paraId="759443AC" w14:textId="099A5EB3" w:rsidR="008E1440" w:rsidRPr="002460B8" w:rsidRDefault="008E1440" w:rsidP="002460B8">
            <w:pPr>
              <w:rPr>
                <w:sz w:val="22"/>
                <w:szCs w:val="22"/>
              </w:rPr>
            </w:pPr>
            <w:r w:rsidRPr="002460B8">
              <w:rPr>
                <w:sz w:val="22"/>
                <w:szCs w:val="22"/>
              </w:rPr>
              <w:t xml:space="preserve">Oznaczenie </w:t>
            </w:r>
          </w:p>
          <w:p w14:paraId="53F50AA7" w14:textId="77777777" w:rsidR="008E1440" w:rsidRPr="002460B8" w:rsidRDefault="008E1440" w:rsidP="002460B8">
            <w:pPr>
              <w:rPr>
                <w:sz w:val="22"/>
                <w:szCs w:val="22"/>
              </w:rPr>
            </w:pPr>
            <w:r w:rsidRPr="002460B8">
              <w:rPr>
                <w:sz w:val="22"/>
                <w:szCs w:val="22"/>
              </w:rPr>
              <w:t>w księdze wieczystej</w:t>
            </w:r>
          </w:p>
        </w:tc>
        <w:tc>
          <w:tcPr>
            <w:tcW w:w="992" w:type="dxa"/>
          </w:tcPr>
          <w:p w14:paraId="7AA69B88" w14:textId="77777777" w:rsidR="008E1440" w:rsidRPr="002460B8" w:rsidRDefault="008E1440" w:rsidP="008E1440">
            <w:pPr>
              <w:jc w:val="both"/>
              <w:rPr>
                <w:sz w:val="22"/>
                <w:szCs w:val="22"/>
              </w:rPr>
            </w:pPr>
            <w:r w:rsidRPr="002460B8">
              <w:rPr>
                <w:sz w:val="22"/>
                <w:szCs w:val="22"/>
              </w:rPr>
              <w:t>Nr działki</w:t>
            </w:r>
          </w:p>
        </w:tc>
        <w:tc>
          <w:tcPr>
            <w:tcW w:w="1418" w:type="dxa"/>
          </w:tcPr>
          <w:p w14:paraId="64A99BB4" w14:textId="77777777" w:rsidR="008E1440" w:rsidRPr="002460B8" w:rsidRDefault="008E1440" w:rsidP="008E1440">
            <w:pPr>
              <w:jc w:val="both"/>
              <w:rPr>
                <w:sz w:val="22"/>
                <w:szCs w:val="22"/>
              </w:rPr>
            </w:pPr>
            <w:r w:rsidRPr="002460B8">
              <w:rPr>
                <w:sz w:val="22"/>
                <w:szCs w:val="22"/>
              </w:rPr>
              <w:t xml:space="preserve">Powierzchnia </w:t>
            </w:r>
          </w:p>
          <w:p w14:paraId="59C7266D" w14:textId="77777777" w:rsidR="008E1440" w:rsidRPr="002460B8" w:rsidRDefault="008E1440" w:rsidP="008E1440">
            <w:pPr>
              <w:jc w:val="both"/>
              <w:rPr>
                <w:sz w:val="22"/>
                <w:szCs w:val="22"/>
              </w:rPr>
            </w:pPr>
            <w:r w:rsidRPr="002460B8">
              <w:rPr>
                <w:sz w:val="22"/>
                <w:szCs w:val="22"/>
              </w:rPr>
              <w:t>w m</w:t>
            </w:r>
            <w:r w:rsidRPr="002460B8">
              <w:rPr>
                <w:sz w:val="22"/>
                <w:szCs w:val="22"/>
                <w:vertAlign w:val="superscript"/>
              </w:rPr>
              <w:t>2</w:t>
            </w:r>
          </w:p>
        </w:tc>
        <w:tc>
          <w:tcPr>
            <w:tcW w:w="1549" w:type="dxa"/>
          </w:tcPr>
          <w:p w14:paraId="4819FBDD" w14:textId="77777777" w:rsidR="008E1440" w:rsidRPr="002460B8" w:rsidRDefault="008E1440" w:rsidP="008E1440">
            <w:pPr>
              <w:jc w:val="both"/>
              <w:rPr>
                <w:sz w:val="22"/>
                <w:szCs w:val="22"/>
              </w:rPr>
            </w:pPr>
            <w:r w:rsidRPr="002460B8">
              <w:rPr>
                <w:sz w:val="22"/>
                <w:szCs w:val="22"/>
              </w:rPr>
              <w:t>Położenie nieruchomości obręb</w:t>
            </w:r>
          </w:p>
        </w:tc>
        <w:tc>
          <w:tcPr>
            <w:tcW w:w="1569" w:type="dxa"/>
          </w:tcPr>
          <w:p w14:paraId="27E02614" w14:textId="77777777" w:rsidR="008E1440" w:rsidRPr="002460B8" w:rsidRDefault="008E1440" w:rsidP="008E1440">
            <w:pPr>
              <w:jc w:val="both"/>
              <w:rPr>
                <w:sz w:val="22"/>
                <w:szCs w:val="22"/>
              </w:rPr>
            </w:pPr>
            <w:r w:rsidRPr="002460B8">
              <w:rPr>
                <w:sz w:val="22"/>
                <w:szCs w:val="22"/>
              </w:rPr>
              <w:t>Cena wywoławcza</w:t>
            </w:r>
          </w:p>
          <w:p w14:paraId="5D218A1B" w14:textId="77777777" w:rsidR="008E1440" w:rsidRPr="002460B8" w:rsidRDefault="008E1440" w:rsidP="008E1440">
            <w:pPr>
              <w:jc w:val="both"/>
              <w:rPr>
                <w:sz w:val="22"/>
                <w:szCs w:val="22"/>
              </w:rPr>
            </w:pPr>
            <w:r w:rsidRPr="002460B8">
              <w:rPr>
                <w:sz w:val="22"/>
                <w:szCs w:val="22"/>
              </w:rPr>
              <w:t>netto w zł</w:t>
            </w:r>
          </w:p>
        </w:tc>
        <w:tc>
          <w:tcPr>
            <w:tcW w:w="1276" w:type="dxa"/>
          </w:tcPr>
          <w:p w14:paraId="4D529C63" w14:textId="17D31E98" w:rsidR="008E1440" w:rsidRPr="002460B8" w:rsidRDefault="008E1440" w:rsidP="008E1440">
            <w:pPr>
              <w:jc w:val="both"/>
              <w:rPr>
                <w:sz w:val="22"/>
                <w:szCs w:val="22"/>
              </w:rPr>
            </w:pPr>
            <w:r w:rsidRPr="002460B8">
              <w:rPr>
                <w:sz w:val="22"/>
                <w:szCs w:val="22"/>
              </w:rPr>
              <w:t xml:space="preserve">Wadium </w:t>
            </w:r>
            <w:r w:rsidR="002460B8" w:rsidRPr="002460B8">
              <w:rPr>
                <w:sz w:val="22"/>
                <w:szCs w:val="22"/>
              </w:rPr>
              <w:br/>
            </w:r>
            <w:r w:rsidRPr="002460B8">
              <w:rPr>
                <w:sz w:val="22"/>
                <w:szCs w:val="22"/>
              </w:rPr>
              <w:t>w zł</w:t>
            </w:r>
          </w:p>
        </w:tc>
      </w:tr>
      <w:tr w:rsidR="00047CF1" w:rsidRPr="002460B8" w14:paraId="2122E714" w14:textId="77777777" w:rsidTr="00186BE5">
        <w:tc>
          <w:tcPr>
            <w:tcW w:w="567" w:type="dxa"/>
          </w:tcPr>
          <w:p w14:paraId="1483E322" w14:textId="682D2AA8" w:rsidR="00047CF1" w:rsidRPr="002460B8" w:rsidRDefault="001923A0" w:rsidP="008E1440">
            <w:pPr>
              <w:jc w:val="both"/>
              <w:rPr>
                <w:sz w:val="22"/>
                <w:szCs w:val="22"/>
              </w:rPr>
            </w:pPr>
            <w:bookmarkStart w:id="1" w:name="_Hlk192578410"/>
            <w:r>
              <w:rPr>
                <w:sz w:val="22"/>
                <w:szCs w:val="22"/>
              </w:rPr>
              <w:t>1</w:t>
            </w:r>
          </w:p>
        </w:tc>
        <w:tc>
          <w:tcPr>
            <w:tcW w:w="1990" w:type="dxa"/>
          </w:tcPr>
          <w:p w14:paraId="1DA9F954" w14:textId="77777777" w:rsidR="00047CF1" w:rsidRDefault="00047CF1" w:rsidP="008E1440">
            <w:pPr>
              <w:jc w:val="both"/>
              <w:rPr>
                <w:sz w:val="22"/>
                <w:szCs w:val="22"/>
              </w:rPr>
            </w:pPr>
            <w:r w:rsidRPr="002460B8">
              <w:rPr>
                <w:sz w:val="22"/>
                <w:szCs w:val="22"/>
              </w:rPr>
              <w:t>PO1K/000</w:t>
            </w:r>
            <w:r w:rsidR="002F04F6">
              <w:rPr>
                <w:sz w:val="22"/>
                <w:szCs w:val="22"/>
              </w:rPr>
              <w:t>45867/1</w:t>
            </w:r>
          </w:p>
          <w:p w14:paraId="22AD3A36" w14:textId="0C302C32" w:rsidR="007F6035" w:rsidRPr="002460B8" w:rsidRDefault="007F6035" w:rsidP="008E1440">
            <w:pPr>
              <w:jc w:val="both"/>
              <w:rPr>
                <w:sz w:val="22"/>
                <w:szCs w:val="22"/>
              </w:rPr>
            </w:pPr>
          </w:p>
        </w:tc>
        <w:tc>
          <w:tcPr>
            <w:tcW w:w="992" w:type="dxa"/>
          </w:tcPr>
          <w:p w14:paraId="6A9EFF8F" w14:textId="2CF00F84" w:rsidR="00047CF1" w:rsidRPr="002460B8" w:rsidRDefault="002F04F6" w:rsidP="008E1440">
            <w:pPr>
              <w:jc w:val="both"/>
              <w:rPr>
                <w:sz w:val="22"/>
                <w:szCs w:val="22"/>
              </w:rPr>
            </w:pPr>
            <w:r>
              <w:rPr>
                <w:sz w:val="22"/>
                <w:szCs w:val="22"/>
              </w:rPr>
              <w:t>21/6</w:t>
            </w:r>
          </w:p>
        </w:tc>
        <w:tc>
          <w:tcPr>
            <w:tcW w:w="1418" w:type="dxa"/>
          </w:tcPr>
          <w:p w14:paraId="70BEF7E6" w14:textId="6DA21B5C" w:rsidR="00047CF1" w:rsidRDefault="00047CF1" w:rsidP="008E1440">
            <w:pPr>
              <w:jc w:val="both"/>
              <w:rPr>
                <w:sz w:val="22"/>
                <w:szCs w:val="22"/>
              </w:rPr>
            </w:pPr>
            <w:r>
              <w:rPr>
                <w:sz w:val="22"/>
                <w:szCs w:val="22"/>
              </w:rPr>
              <w:t xml:space="preserve">1 </w:t>
            </w:r>
            <w:r w:rsidR="002F04F6">
              <w:rPr>
                <w:sz w:val="22"/>
                <w:szCs w:val="22"/>
              </w:rPr>
              <w:t>125</w:t>
            </w:r>
          </w:p>
        </w:tc>
        <w:tc>
          <w:tcPr>
            <w:tcW w:w="1549" w:type="dxa"/>
          </w:tcPr>
          <w:p w14:paraId="6939226C" w14:textId="228ACFEA" w:rsidR="00047CF1" w:rsidRPr="002460B8" w:rsidRDefault="002F04F6" w:rsidP="008E1440">
            <w:pPr>
              <w:jc w:val="both"/>
              <w:rPr>
                <w:sz w:val="22"/>
                <w:szCs w:val="22"/>
              </w:rPr>
            </w:pPr>
            <w:r>
              <w:rPr>
                <w:sz w:val="22"/>
                <w:szCs w:val="22"/>
              </w:rPr>
              <w:t>Donatowo</w:t>
            </w:r>
          </w:p>
        </w:tc>
        <w:tc>
          <w:tcPr>
            <w:tcW w:w="1569" w:type="dxa"/>
          </w:tcPr>
          <w:p w14:paraId="4FEA6A6A" w14:textId="714A3C93" w:rsidR="00047CF1" w:rsidRPr="002460B8" w:rsidRDefault="001923A0" w:rsidP="008E1440">
            <w:pPr>
              <w:jc w:val="both"/>
              <w:rPr>
                <w:sz w:val="22"/>
                <w:szCs w:val="22"/>
              </w:rPr>
            </w:pPr>
            <w:r>
              <w:rPr>
                <w:sz w:val="22"/>
                <w:szCs w:val="22"/>
              </w:rPr>
              <w:t>1</w:t>
            </w:r>
            <w:r w:rsidR="002F04F6">
              <w:rPr>
                <w:sz w:val="22"/>
                <w:szCs w:val="22"/>
              </w:rPr>
              <w:t>12 500,00</w:t>
            </w:r>
          </w:p>
        </w:tc>
        <w:tc>
          <w:tcPr>
            <w:tcW w:w="1276" w:type="dxa"/>
          </w:tcPr>
          <w:p w14:paraId="6F0154E6" w14:textId="306796C5" w:rsidR="00047CF1" w:rsidRPr="002460B8" w:rsidRDefault="002F04F6" w:rsidP="008E1440">
            <w:pPr>
              <w:jc w:val="both"/>
              <w:rPr>
                <w:sz w:val="22"/>
                <w:szCs w:val="22"/>
              </w:rPr>
            </w:pPr>
            <w:r>
              <w:rPr>
                <w:sz w:val="22"/>
                <w:szCs w:val="22"/>
              </w:rPr>
              <w:t>11 250,00</w:t>
            </w:r>
          </w:p>
        </w:tc>
      </w:tr>
      <w:tr w:rsidR="00047CF1" w:rsidRPr="002460B8" w14:paraId="54D0B627" w14:textId="77777777" w:rsidTr="00186BE5">
        <w:tc>
          <w:tcPr>
            <w:tcW w:w="567" w:type="dxa"/>
          </w:tcPr>
          <w:p w14:paraId="5307B6EB" w14:textId="1731FAFD" w:rsidR="00047CF1" w:rsidRPr="002460B8" w:rsidRDefault="001923A0" w:rsidP="008E1440">
            <w:pPr>
              <w:jc w:val="both"/>
              <w:rPr>
                <w:sz w:val="22"/>
                <w:szCs w:val="22"/>
              </w:rPr>
            </w:pPr>
            <w:r>
              <w:rPr>
                <w:sz w:val="22"/>
                <w:szCs w:val="22"/>
              </w:rPr>
              <w:t>2</w:t>
            </w:r>
          </w:p>
        </w:tc>
        <w:tc>
          <w:tcPr>
            <w:tcW w:w="1990" w:type="dxa"/>
          </w:tcPr>
          <w:p w14:paraId="443F73E6" w14:textId="77777777" w:rsidR="00047CF1" w:rsidRDefault="00047CF1" w:rsidP="008E1440">
            <w:pPr>
              <w:jc w:val="both"/>
              <w:rPr>
                <w:sz w:val="22"/>
                <w:szCs w:val="22"/>
              </w:rPr>
            </w:pPr>
            <w:r w:rsidRPr="002460B8">
              <w:rPr>
                <w:sz w:val="22"/>
                <w:szCs w:val="22"/>
              </w:rPr>
              <w:t>PO1K/00045</w:t>
            </w:r>
            <w:r w:rsidR="002F04F6">
              <w:rPr>
                <w:sz w:val="22"/>
                <w:szCs w:val="22"/>
              </w:rPr>
              <w:t>867/1</w:t>
            </w:r>
          </w:p>
          <w:p w14:paraId="6A01283D" w14:textId="7CE16648" w:rsidR="007F6035" w:rsidRPr="002460B8" w:rsidRDefault="007F6035" w:rsidP="008E1440">
            <w:pPr>
              <w:jc w:val="both"/>
              <w:rPr>
                <w:sz w:val="22"/>
                <w:szCs w:val="22"/>
              </w:rPr>
            </w:pPr>
          </w:p>
        </w:tc>
        <w:tc>
          <w:tcPr>
            <w:tcW w:w="992" w:type="dxa"/>
          </w:tcPr>
          <w:p w14:paraId="4971A851" w14:textId="595EC928" w:rsidR="00047CF1" w:rsidRPr="002460B8" w:rsidRDefault="002F04F6" w:rsidP="008E1440">
            <w:pPr>
              <w:jc w:val="both"/>
              <w:rPr>
                <w:sz w:val="22"/>
                <w:szCs w:val="22"/>
              </w:rPr>
            </w:pPr>
            <w:r>
              <w:rPr>
                <w:sz w:val="22"/>
                <w:szCs w:val="22"/>
              </w:rPr>
              <w:t>21/7</w:t>
            </w:r>
          </w:p>
        </w:tc>
        <w:tc>
          <w:tcPr>
            <w:tcW w:w="1418" w:type="dxa"/>
          </w:tcPr>
          <w:p w14:paraId="28530471" w14:textId="49189FEB" w:rsidR="00047CF1" w:rsidRDefault="00047CF1" w:rsidP="008E1440">
            <w:pPr>
              <w:jc w:val="both"/>
              <w:rPr>
                <w:sz w:val="22"/>
                <w:szCs w:val="22"/>
              </w:rPr>
            </w:pPr>
            <w:r>
              <w:rPr>
                <w:sz w:val="22"/>
                <w:szCs w:val="22"/>
              </w:rPr>
              <w:t xml:space="preserve">1 </w:t>
            </w:r>
            <w:r w:rsidR="002F04F6">
              <w:rPr>
                <w:sz w:val="22"/>
                <w:szCs w:val="22"/>
              </w:rPr>
              <w:t>191</w:t>
            </w:r>
          </w:p>
        </w:tc>
        <w:tc>
          <w:tcPr>
            <w:tcW w:w="1549" w:type="dxa"/>
          </w:tcPr>
          <w:p w14:paraId="13DE34CD" w14:textId="36EA331A" w:rsidR="00047CF1" w:rsidRPr="002460B8" w:rsidRDefault="002F04F6" w:rsidP="008E1440">
            <w:pPr>
              <w:jc w:val="both"/>
              <w:rPr>
                <w:sz w:val="22"/>
                <w:szCs w:val="22"/>
              </w:rPr>
            </w:pPr>
            <w:r>
              <w:rPr>
                <w:sz w:val="22"/>
                <w:szCs w:val="22"/>
              </w:rPr>
              <w:t xml:space="preserve">Donatowo </w:t>
            </w:r>
          </w:p>
        </w:tc>
        <w:tc>
          <w:tcPr>
            <w:tcW w:w="1569" w:type="dxa"/>
          </w:tcPr>
          <w:p w14:paraId="4E9C5677" w14:textId="61A1D29F" w:rsidR="00047CF1" w:rsidRPr="002460B8" w:rsidRDefault="002F04F6" w:rsidP="008E1440">
            <w:pPr>
              <w:jc w:val="both"/>
              <w:rPr>
                <w:sz w:val="22"/>
                <w:szCs w:val="22"/>
              </w:rPr>
            </w:pPr>
            <w:r>
              <w:rPr>
                <w:sz w:val="22"/>
                <w:szCs w:val="22"/>
              </w:rPr>
              <w:t>119 100,00</w:t>
            </w:r>
          </w:p>
        </w:tc>
        <w:tc>
          <w:tcPr>
            <w:tcW w:w="1276" w:type="dxa"/>
          </w:tcPr>
          <w:p w14:paraId="5EAE03B2" w14:textId="2858DA00" w:rsidR="00047CF1" w:rsidRPr="002460B8" w:rsidRDefault="002F04F6" w:rsidP="008E1440">
            <w:pPr>
              <w:jc w:val="both"/>
              <w:rPr>
                <w:sz w:val="22"/>
                <w:szCs w:val="22"/>
              </w:rPr>
            </w:pPr>
            <w:r>
              <w:rPr>
                <w:sz w:val="22"/>
                <w:szCs w:val="22"/>
              </w:rPr>
              <w:t>11 910,00</w:t>
            </w:r>
          </w:p>
        </w:tc>
      </w:tr>
    </w:tbl>
    <w:bookmarkEnd w:id="1"/>
    <w:p w14:paraId="080F5E07" w14:textId="43BE3748" w:rsidR="008E1440" w:rsidRPr="002460B8" w:rsidRDefault="00084CFA" w:rsidP="00084CFA">
      <w:pPr>
        <w:spacing w:after="240"/>
        <w:ind w:right="141"/>
        <w:jc w:val="both"/>
        <w:rPr>
          <w:b/>
          <w:sz w:val="24"/>
          <w:szCs w:val="24"/>
        </w:rPr>
      </w:pPr>
      <w:r w:rsidRPr="002460B8">
        <w:rPr>
          <w:b/>
          <w:sz w:val="24"/>
          <w:szCs w:val="24"/>
        </w:rPr>
        <w:t>ogłasza I</w:t>
      </w:r>
      <w:r w:rsidR="002F04F6">
        <w:rPr>
          <w:b/>
          <w:sz w:val="24"/>
          <w:szCs w:val="24"/>
        </w:rPr>
        <w:t xml:space="preserve"> </w:t>
      </w:r>
      <w:r w:rsidRPr="002460B8">
        <w:rPr>
          <w:b/>
          <w:sz w:val="24"/>
          <w:szCs w:val="24"/>
        </w:rPr>
        <w:t>przetarg ustny nieograniczony na sprzedaż następujących nieruchomości gruntowych będących własnością Gminy Czempiń</w:t>
      </w:r>
    </w:p>
    <w:p w14:paraId="0A2DC232" w14:textId="77777777" w:rsidR="00084CFA" w:rsidRDefault="00084CFA" w:rsidP="00084CFA">
      <w:pPr>
        <w:jc w:val="both"/>
        <w:rPr>
          <w:sz w:val="24"/>
          <w:szCs w:val="24"/>
        </w:rPr>
      </w:pPr>
    </w:p>
    <w:p w14:paraId="3D6DCCFC" w14:textId="185CEF92" w:rsidR="00084CFA" w:rsidRDefault="00084CFA" w:rsidP="00084CFA">
      <w:pPr>
        <w:jc w:val="both"/>
        <w:rPr>
          <w:bCs/>
          <w:sz w:val="24"/>
          <w:szCs w:val="24"/>
        </w:rPr>
      </w:pPr>
      <w:r w:rsidRPr="002460B8">
        <w:rPr>
          <w:sz w:val="24"/>
          <w:szCs w:val="24"/>
        </w:rPr>
        <w:t>Postąpienie minimalne: o wysokości postąpienia decydują uczestnicy przetargu, z tym że postąpienie nie może wynosić mniej niż 1% ceny wywoławczej z zaokrągleniem w górę do pełnych dziesiątek złotych.</w:t>
      </w:r>
    </w:p>
    <w:p w14:paraId="7BB83CB2" w14:textId="77777777" w:rsidR="00421C05" w:rsidRDefault="00421C05" w:rsidP="00421C05">
      <w:pPr>
        <w:jc w:val="both"/>
        <w:rPr>
          <w:color w:val="000000"/>
          <w:sz w:val="24"/>
          <w:szCs w:val="24"/>
          <w:shd w:val="clear" w:color="auto" w:fill="FFFFFF"/>
        </w:rPr>
      </w:pPr>
      <w:r w:rsidRPr="00D63C03">
        <w:rPr>
          <w:color w:val="000000"/>
          <w:sz w:val="24"/>
          <w:szCs w:val="24"/>
          <w:shd w:val="clear" w:color="auto" w:fill="FFFFFF"/>
        </w:rPr>
        <w:t>Do ceny nieruchomości zostanie doliczony podatek VAT, w stawce obowiązującej na dzień podpisania umowy sprzedaży. Cena nieruchomości powiększona o podatek VAT podlega zapłacie nie później niż na trzy dni przed zawarciem aktu notarialnego. </w:t>
      </w:r>
    </w:p>
    <w:p w14:paraId="38FB9631" w14:textId="77777777" w:rsidR="00084CFA" w:rsidRPr="002460B8" w:rsidRDefault="00084CFA" w:rsidP="00084CFA">
      <w:pPr>
        <w:jc w:val="both"/>
        <w:rPr>
          <w:sz w:val="24"/>
          <w:szCs w:val="24"/>
        </w:rPr>
      </w:pPr>
    </w:p>
    <w:p w14:paraId="385DC633" w14:textId="26BDA441" w:rsidR="00084CFA" w:rsidRPr="002460B8" w:rsidRDefault="00084CFA" w:rsidP="00084CFA">
      <w:pPr>
        <w:jc w:val="both"/>
        <w:rPr>
          <w:b/>
          <w:bCs/>
          <w:sz w:val="24"/>
          <w:szCs w:val="24"/>
        </w:rPr>
      </w:pPr>
      <w:r w:rsidRPr="002460B8">
        <w:rPr>
          <w:b/>
          <w:bCs/>
          <w:sz w:val="24"/>
          <w:szCs w:val="24"/>
        </w:rPr>
        <w:t>Termin i miejsce przetargu:</w:t>
      </w:r>
    </w:p>
    <w:p w14:paraId="54530BE8" w14:textId="77777777" w:rsidR="00084CFA" w:rsidRPr="002460B8" w:rsidRDefault="00084CFA" w:rsidP="00084CFA">
      <w:pPr>
        <w:jc w:val="both"/>
        <w:rPr>
          <w:b/>
          <w:bCs/>
          <w:sz w:val="24"/>
          <w:szCs w:val="24"/>
        </w:rPr>
      </w:pPr>
    </w:p>
    <w:p w14:paraId="00896687" w14:textId="14923F1D" w:rsidR="00084CFA" w:rsidRPr="002460B8" w:rsidRDefault="002F04F6" w:rsidP="00084CFA">
      <w:pPr>
        <w:spacing w:after="240"/>
        <w:jc w:val="both"/>
        <w:rPr>
          <w:b/>
          <w:sz w:val="24"/>
          <w:szCs w:val="24"/>
        </w:rPr>
      </w:pPr>
      <w:r>
        <w:rPr>
          <w:b/>
          <w:sz w:val="24"/>
          <w:szCs w:val="24"/>
        </w:rPr>
        <w:t>23 czerwca</w:t>
      </w:r>
      <w:r w:rsidR="003D5930">
        <w:rPr>
          <w:b/>
          <w:sz w:val="24"/>
          <w:szCs w:val="24"/>
        </w:rPr>
        <w:t xml:space="preserve"> </w:t>
      </w:r>
      <w:r w:rsidR="00084CFA" w:rsidRPr="002460B8">
        <w:rPr>
          <w:b/>
          <w:sz w:val="24"/>
          <w:szCs w:val="24"/>
        </w:rPr>
        <w:t>202</w:t>
      </w:r>
      <w:r w:rsidR="003D5930">
        <w:rPr>
          <w:b/>
          <w:sz w:val="24"/>
          <w:szCs w:val="24"/>
        </w:rPr>
        <w:t>5</w:t>
      </w:r>
      <w:r w:rsidR="00084CFA" w:rsidRPr="002460B8">
        <w:rPr>
          <w:b/>
          <w:sz w:val="24"/>
          <w:szCs w:val="24"/>
        </w:rPr>
        <w:t xml:space="preserve"> r. godz. 10.00</w:t>
      </w:r>
      <w:r w:rsidR="00144E86" w:rsidRPr="002460B8">
        <w:rPr>
          <w:b/>
          <w:sz w:val="24"/>
          <w:szCs w:val="24"/>
        </w:rPr>
        <w:t xml:space="preserve"> </w:t>
      </w:r>
      <w:r w:rsidR="003D5930">
        <w:rPr>
          <w:b/>
          <w:sz w:val="24"/>
          <w:szCs w:val="24"/>
        </w:rPr>
        <w:t xml:space="preserve">w Urzędzie Gminy w Czempiniu ul. ks. J. Popiełuszki 25, </w:t>
      </w:r>
      <w:r w:rsidR="003D5930">
        <w:rPr>
          <w:b/>
          <w:sz w:val="24"/>
          <w:szCs w:val="24"/>
        </w:rPr>
        <w:br/>
        <w:t xml:space="preserve">64-020 Czempiń (parter, sala nr 3) </w:t>
      </w:r>
    </w:p>
    <w:p w14:paraId="47F62AFC" w14:textId="403F9B30" w:rsidR="00084CFA" w:rsidRPr="002460B8" w:rsidRDefault="00084CFA" w:rsidP="00084CFA">
      <w:pPr>
        <w:jc w:val="both"/>
        <w:rPr>
          <w:rFonts w:eastAsia="Lucida Sans Unicode"/>
          <w:b/>
          <w:bCs/>
          <w:kern w:val="3"/>
          <w:sz w:val="24"/>
          <w:szCs w:val="24"/>
          <w:lang w:eastAsia="zh-CN" w:bidi="hi-IN"/>
        </w:rPr>
      </w:pPr>
      <w:r w:rsidRPr="002460B8">
        <w:rPr>
          <w:rFonts w:eastAsia="Lucida Sans Unicode"/>
          <w:b/>
          <w:bCs/>
          <w:kern w:val="3"/>
          <w:sz w:val="24"/>
          <w:szCs w:val="24"/>
          <w:lang w:eastAsia="zh-CN" w:bidi="hi-IN"/>
        </w:rPr>
        <w:t>Warunki uczestnictwa:</w:t>
      </w:r>
    </w:p>
    <w:p w14:paraId="10B4460F" w14:textId="3734F74E" w:rsidR="00084CFA" w:rsidRPr="00421C05" w:rsidRDefault="00084CFA" w:rsidP="00084CFA">
      <w:pPr>
        <w:spacing w:after="240"/>
        <w:jc w:val="both"/>
        <w:rPr>
          <w:sz w:val="24"/>
          <w:szCs w:val="24"/>
        </w:rPr>
      </w:pPr>
      <w:r w:rsidRPr="002460B8">
        <w:rPr>
          <w:sz w:val="24"/>
          <w:szCs w:val="24"/>
        </w:rPr>
        <w:t xml:space="preserve">Warunkiem uczestnictwa w przetargu jest wpłacenie wadium w pieniądzu na konto Gminy Czempiń – BS Poniec O/Czempiń  nr </w:t>
      </w:r>
      <w:r w:rsidR="00421C05">
        <w:rPr>
          <w:sz w:val="24"/>
          <w:szCs w:val="24"/>
          <w:shd w:val="clear" w:color="auto" w:fill="FFFFFF"/>
        </w:rPr>
        <w:t>36 8682 1030 0040 0000 0390 0003</w:t>
      </w:r>
      <w:r w:rsidR="00421C05">
        <w:rPr>
          <w:sz w:val="24"/>
          <w:szCs w:val="24"/>
        </w:rPr>
        <w:t xml:space="preserve"> </w:t>
      </w:r>
      <w:r w:rsidRPr="002460B8">
        <w:rPr>
          <w:sz w:val="24"/>
          <w:szCs w:val="24"/>
        </w:rPr>
        <w:t>które powinno znajdować się na w/w koncie najpóźniej</w:t>
      </w:r>
      <w:r w:rsidR="00421C05">
        <w:rPr>
          <w:sz w:val="24"/>
          <w:szCs w:val="24"/>
        </w:rPr>
        <w:t xml:space="preserve"> </w:t>
      </w:r>
      <w:r w:rsidRPr="002460B8">
        <w:rPr>
          <w:b/>
          <w:sz w:val="24"/>
          <w:szCs w:val="24"/>
        </w:rPr>
        <w:t>w dniu</w:t>
      </w:r>
      <w:r w:rsidR="00144E86" w:rsidRPr="002460B8">
        <w:rPr>
          <w:b/>
          <w:sz w:val="24"/>
          <w:szCs w:val="24"/>
        </w:rPr>
        <w:t xml:space="preserve"> </w:t>
      </w:r>
      <w:r w:rsidR="002F04F6">
        <w:rPr>
          <w:b/>
          <w:sz w:val="24"/>
          <w:szCs w:val="24"/>
        </w:rPr>
        <w:t>16 czerwca</w:t>
      </w:r>
      <w:r w:rsidRPr="002460B8">
        <w:rPr>
          <w:b/>
          <w:sz w:val="24"/>
          <w:szCs w:val="24"/>
        </w:rPr>
        <w:t xml:space="preserve"> 202</w:t>
      </w:r>
      <w:r w:rsidR="002F04F6">
        <w:rPr>
          <w:b/>
          <w:sz w:val="24"/>
          <w:szCs w:val="24"/>
        </w:rPr>
        <w:t>6</w:t>
      </w:r>
      <w:r w:rsidRPr="002460B8">
        <w:rPr>
          <w:b/>
          <w:sz w:val="24"/>
          <w:szCs w:val="24"/>
        </w:rPr>
        <w:t xml:space="preserve"> r. </w:t>
      </w:r>
    </w:p>
    <w:p w14:paraId="4D69C535" w14:textId="27DB612C" w:rsidR="00084CFA" w:rsidRPr="002460B8" w:rsidRDefault="00084CFA" w:rsidP="00084CFA">
      <w:pPr>
        <w:spacing w:after="240"/>
        <w:jc w:val="both"/>
        <w:rPr>
          <w:sz w:val="24"/>
          <w:szCs w:val="24"/>
        </w:rPr>
      </w:pPr>
      <w:r w:rsidRPr="002460B8">
        <w:rPr>
          <w:sz w:val="24"/>
          <w:szCs w:val="24"/>
        </w:rPr>
        <w:t>Przystępujący do przetargu zobowiązani są do wpłacenia wadium w wyżej podanej wysokości z zaznaczeniem,</w:t>
      </w:r>
      <w:r w:rsidR="00144E86" w:rsidRPr="002460B8">
        <w:rPr>
          <w:sz w:val="24"/>
          <w:szCs w:val="24"/>
        </w:rPr>
        <w:t xml:space="preserve"> </w:t>
      </w:r>
      <w:r w:rsidRPr="002460B8">
        <w:rPr>
          <w:sz w:val="24"/>
          <w:szCs w:val="24"/>
        </w:rPr>
        <w:t xml:space="preserve">nieruchomości, której dotyczy wpłata. Uczestnik przetargu zobowiązany jest przed przystąpieniem do przetargu złożyć oświadczenie o zapoznaniu się z treścią ogłoszenia </w:t>
      </w:r>
      <w:r w:rsidRPr="002460B8">
        <w:rPr>
          <w:sz w:val="24"/>
          <w:szCs w:val="24"/>
        </w:rPr>
        <w:br/>
        <w:t>o przetargu i zaakceptować określone w jego treści warunki.</w:t>
      </w:r>
    </w:p>
    <w:p w14:paraId="6F430065" w14:textId="34FBF054" w:rsidR="00084CFA" w:rsidRPr="002460B8" w:rsidRDefault="00084CFA" w:rsidP="00084CFA">
      <w:pPr>
        <w:jc w:val="both"/>
        <w:rPr>
          <w:b/>
          <w:sz w:val="24"/>
          <w:szCs w:val="24"/>
        </w:rPr>
      </w:pPr>
      <w:r w:rsidRPr="002460B8">
        <w:rPr>
          <w:b/>
          <w:sz w:val="24"/>
          <w:szCs w:val="24"/>
        </w:rPr>
        <w:t>Opis nieruchomości:</w:t>
      </w:r>
    </w:p>
    <w:p w14:paraId="196E005B" w14:textId="2853DCF3" w:rsidR="00421C05" w:rsidRDefault="002F04F6" w:rsidP="002F04F6">
      <w:pPr>
        <w:overflowPunct/>
        <w:autoSpaceDE/>
        <w:autoSpaceDN/>
        <w:adjustRightInd/>
        <w:spacing w:line="259" w:lineRule="auto"/>
        <w:jc w:val="both"/>
        <w:textAlignment w:val="auto"/>
        <w:rPr>
          <w:rFonts w:eastAsiaTheme="minorHAnsi"/>
          <w:sz w:val="24"/>
          <w:szCs w:val="24"/>
          <w:lang w:eastAsia="en-US"/>
        </w:rPr>
      </w:pPr>
      <w:r w:rsidRPr="002F04F6">
        <w:rPr>
          <w:rFonts w:eastAsiaTheme="minorHAnsi"/>
          <w:sz w:val="24"/>
          <w:szCs w:val="24"/>
          <w:lang w:eastAsia="en-US"/>
        </w:rPr>
        <w:t xml:space="preserve">Gmina Czempiń nie posiada miejscowego planu zagospodarowania przestrzennego </w:t>
      </w:r>
      <w:r>
        <w:rPr>
          <w:rFonts w:eastAsiaTheme="minorHAnsi"/>
          <w:sz w:val="24"/>
          <w:szCs w:val="24"/>
          <w:lang w:eastAsia="en-US"/>
        </w:rPr>
        <w:br/>
      </w:r>
      <w:r w:rsidRPr="002F04F6">
        <w:rPr>
          <w:rFonts w:eastAsiaTheme="minorHAnsi"/>
          <w:sz w:val="24"/>
          <w:szCs w:val="24"/>
          <w:lang w:eastAsia="en-US"/>
        </w:rPr>
        <w:t xml:space="preserve">dla przedmiotowych działek. Dnia </w:t>
      </w:r>
      <w:r>
        <w:rPr>
          <w:rFonts w:eastAsiaTheme="minorHAnsi"/>
          <w:sz w:val="24"/>
          <w:szCs w:val="24"/>
          <w:lang w:eastAsia="en-US"/>
        </w:rPr>
        <w:t>20 kwietnia</w:t>
      </w:r>
      <w:r w:rsidRPr="002F04F6">
        <w:rPr>
          <w:rFonts w:eastAsiaTheme="minorHAnsi"/>
          <w:sz w:val="24"/>
          <w:szCs w:val="24"/>
          <w:lang w:eastAsia="en-US"/>
        </w:rPr>
        <w:t xml:space="preserve"> 2026 r. Burmistrz Gminy Czempiń wydał decyzję nr RG.6730.</w:t>
      </w:r>
      <w:r>
        <w:rPr>
          <w:rFonts w:eastAsiaTheme="minorHAnsi"/>
          <w:sz w:val="24"/>
          <w:szCs w:val="24"/>
          <w:lang w:eastAsia="en-US"/>
        </w:rPr>
        <w:t>47</w:t>
      </w:r>
      <w:r w:rsidRPr="002F04F6">
        <w:rPr>
          <w:rFonts w:eastAsiaTheme="minorHAnsi"/>
          <w:sz w:val="24"/>
          <w:szCs w:val="24"/>
          <w:lang w:eastAsia="en-US"/>
        </w:rPr>
        <w:t>.202</w:t>
      </w:r>
      <w:r>
        <w:rPr>
          <w:rFonts w:eastAsiaTheme="minorHAnsi"/>
          <w:sz w:val="24"/>
          <w:szCs w:val="24"/>
          <w:lang w:eastAsia="en-US"/>
        </w:rPr>
        <w:t>6</w:t>
      </w:r>
      <w:r w:rsidRPr="002F04F6">
        <w:rPr>
          <w:rFonts w:eastAsiaTheme="minorHAnsi"/>
          <w:sz w:val="24"/>
          <w:szCs w:val="24"/>
          <w:lang w:eastAsia="en-US"/>
        </w:rPr>
        <w:t xml:space="preserve">.PM o warunkach zabudowy dla inwestycji polegającej na budowie </w:t>
      </w:r>
      <w:r>
        <w:rPr>
          <w:rFonts w:eastAsiaTheme="minorHAnsi"/>
          <w:sz w:val="24"/>
          <w:szCs w:val="24"/>
          <w:lang w:eastAsia="en-US"/>
        </w:rPr>
        <w:t xml:space="preserve">budynku mieszkalnego jednorodzinnego wolnostojącego, na działce o nr </w:t>
      </w:r>
      <w:proofErr w:type="spellStart"/>
      <w:r>
        <w:rPr>
          <w:rFonts w:eastAsiaTheme="minorHAnsi"/>
          <w:sz w:val="24"/>
          <w:szCs w:val="24"/>
          <w:lang w:eastAsia="en-US"/>
        </w:rPr>
        <w:t>ewid</w:t>
      </w:r>
      <w:proofErr w:type="spellEnd"/>
      <w:r>
        <w:rPr>
          <w:rFonts w:eastAsiaTheme="minorHAnsi"/>
          <w:sz w:val="24"/>
          <w:szCs w:val="24"/>
          <w:lang w:eastAsia="en-US"/>
        </w:rPr>
        <w:t xml:space="preserve">. 21/6 obręb Donatowo oraz decyzję nr RG.6730.48.2026.PM o warunkach zabudowy dla inwestycji polegającej na budowie budynku mieszkalnego jednorodzinnego wolnostojącego na działce o nr </w:t>
      </w:r>
      <w:proofErr w:type="spellStart"/>
      <w:r>
        <w:rPr>
          <w:rFonts w:eastAsiaTheme="minorHAnsi"/>
          <w:sz w:val="24"/>
          <w:szCs w:val="24"/>
          <w:lang w:eastAsia="en-US"/>
        </w:rPr>
        <w:t>ewid</w:t>
      </w:r>
      <w:proofErr w:type="spellEnd"/>
      <w:r>
        <w:rPr>
          <w:rFonts w:eastAsiaTheme="minorHAnsi"/>
          <w:sz w:val="24"/>
          <w:szCs w:val="24"/>
          <w:lang w:eastAsia="en-US"/>
        </w:rPr>
        <w:t>. 21/7 obręb Donatowo.</w:t>
      </w:r>
    </w:p>
    <w:p w14:paraId="60DE5709" w14:textId="77777777" w:rsidR="002F04F6" w:rsidRPr="002460B8" w:rsidRDefault="002F04F6" w:rsidP="002F04F6">
      <w:pPr>
        <w:overflowPunct/>
        <w:autoSpaceDE/>
        <w:autoSpaceDN/>
        <w:adjustRightInd/>
        <w:spacing w:line="259" w:lineRule="auto"/>
        <w:jc w:val="both"/>
        <w:textAlignment w:val="auto"/>
        <w:rPr>
          <w:sz w:val="24"/>
          <w:szCs w:val="24"/>
        </w:rPr>
      </w:pPr>
    </w:p>
    <w:p w14:paraId="5E1CFB9B" w14:textId="5EEB8049" w:rsidR="00084CFA" w:rsidRPr="002460B8" w:rsidRDefault="00084CFA" w:rsidP="00084CFA">
      <w:pPr>
        <w:jc w:val="both"/>
        <w:rPr>
          <w:sz w:val="24"/>
          <w:szCs w:val="24"/>
        </w:rPr>
      </w:pPr>
      <w:r w:rsidRPr="002460B8">
        <w:rPr>
          <w:sz w:val="24"/>
          <w:szCs w:val="24"/>
        </w:rPr>
        <w:t>Księga wieczysta nie wykazuje obciążeń</w:t>
      </w:r>
      <w:r w:rsidR="00421C05">
        <w:rPr>
          <w:sz w:val="24"/>
          <w:szCs w:val="24"/>
        </w:rPr>
        <w:t xml:space="preserve"> i zobowiązań</w:t>
      </w:r>
      <w:r w:rsidRPr="002460B8">
        <w:rPr>
          <w:sz w:val="24"/>
          <w:szCs w:val="24"/>
        </w:rPr>
        <w:t>.</w:t>
      </w:r>
    </w:p>
    <w:p w14:paraId="53065908" w14:textId="77777777" w:rsidR="00942423" w:rsidRDefault="00942423" w:rsidP="002460B8">
      <w:pPr>
        <w:overflowPunct/>
        <w:jc w:val="both"/>
        <w:textAlignment w:val="auto"/>
        <w:rPr>
          <w:color w:val="000000"/>
          <w:sz w:val="24"/>
          <w:szCs w:val="24"/>
          <w:lang w:eastAsia="en-US"/>
        </w:rPr>
      </w:pPr>
    </w:p>
    <w:p w14:paraId="1F6E2F3A" w14:textId="77777777" w:rsidR="002F04F6" w:rsidRDefault="00942423" w:rsidP="00942423">
      <w:pPr>
        <w:pStyle w:val="Default"/>
        <w:jc w:val="both"/>
        <w:rPr>
          <w:b/>
          <w:bCs/>
        </w:rPr>
      </w:pPr>
      <w:r w:rsidRPr="002460B8">
        <w:rPr>
          <w:b/>
          <w:bCs/>
        </w:rPr>
        <w:t xml:space="preserve">Działka </w:t>
      </w:r>
      <w:r w:rsidR="002F04F6">
        <w:rPr>
          <w:b/>
          <w:bCs/>
        </w:rPr>
        <w:t>21/6</w:t>
      </w:r>
      <w:r w:rsidRPr="002460B8">
        <w:rPr>
          <w:b/>
          <w:bCs/>
        </w:rPr>
        <w:t xml:space="preserve"> obręb </w:t>
      </w:r>
      <w:r w:rsidR="002F04F6">
        <w:rPr>
          <w:b/>
          <w:bCs/>
        </w:rPr>
        <w:t xml:space="preserve">Donatowo </w:t>
      </w:r>
    </w:p>
    <w:p w14:paraId="25159389" w14:textId="77777777" w:rsidR="007F6035" w:rsidRDefault="007F6035" w:rsidP="00942423">
      <w:pPr>
        <w:pStyle w:val="Default"/>
        <w:jc w:val="both"/>
        <w:rPr>
          <w:b/>
          <w:bCs/>
        </w:rPr>
      </w:pPr>
    </w:p>
    <w:p w14:paraId="611680D6" w14:textId="3B8D3C1E" w:rsidR="002F04F6" w:rsidRPr="002F04F6" w:rsidRDefault="002F04F6" w:rsidP="002F04F6">
      <w:pPr>
        <w:jc w:val="both"/>
        <w:rPr>
          <w:rFonts w:eastAsiaTheme="minorHAnsi"/>
          <w:sz w:val="24"/>
          <w:szCs w:val="24"/>
          <w:lang w:eastAsia="en-US"/>
        </w:rPr>
      </w:pPr>
      <w:r w:rsidRPr="002F04F6">
        <w:rPr>
          <w:rFonts w:eastAsiaTheme="minorHAnsi"/>
          <w:sz w:val="24"/>
          <w:szCs w:val="24"/>
          <w:lang w:eastAsia="en-US"/>
        </w:rPr>
        <w:t xml:space="preserve">Nieruchomość jest niezabudowana, nieogrodzona, położona w II linii zabudowy, w centralnej części wsi Donatowo. Teren jest względnie płaski, użytkowany rolniczo, porośnięty roślinnością niską, porośnięty we wschodniej części drzewami i krzewami z samosiewu. Nieruchomość </w:t>
      </w:r>
      <w:r>
        <w:rPr>
          <w:rFonts w:eastAsiaTheme="minorHAnsi"/>
          <w:sz w:val="24"/>
          <w:szCs w:val="24"/>
          <w:lang w:eastAsia="en-US"/>
        </w:rPr>
        <w:br/>
      </w:r>
      <w:r w:rsidRPr="002F04F6">
        <w:rPr>
          <w:rFonts w:eastAsiaTheme="minorHAnsi"/>
          <w:sz w:val="24"/>
          <w:szCs w:val="24"/>
          <w:lang w:eastAsia="en-US"/>
        </w:rPr>
        <w:lastRenderedPageBreak/>
        <w:t xml:space="preserve">nie posiada dostępu do sieci uzbrojenia terenu, kształt działki jest foremny, zbliżony do trapezu, bezpośrednie sąsiedztwo stanowi zabudowa mieszkaniowa jednorodzinna i zabudowa zagrodowa.  </w:t>
      </w:r>
    </w:p>
    <w:p w14:paraId="72E17301" w14:textId="3759777F" w:rsidR="00942423" w:rsidRPr="002460B8" w:rsidRDefault="00942423" w:rsidP="00942423">
      <w:pPr>
        <w:pStyle w:val="Default"/>
        <w:jc w:val="both"/>
        <w:rPr>
          <w:b/>
          <w:bCs/>
        </w:rPr>
      </w:pPr>
      <w:r w:rsidRPr="002460B8">
        <w:rPr>
          <w:b/>
          <w:bCs/>
        </w:rPr>
        <w:t xml:space="preserve"> </w:t>
      </w:r>
    </w:p>
    <w:p w14:paraId="4CFD1D48" w14:textId="7EA0C3ED" w:rsidR="00942423" w:rsidRDefault="00942423" w:rsidP="00942423">
      <w:pPr>
        <w:overflowPunct/>
        <w:jc w:val="both"/>
        <w:textAlignment w:val="auto"/>
        <w:rPr>
          <w:b/>
          <w:bCs/>
          <w:color w:val="000000"/>
          <w:sz w:val="24"/>
          <w:szCs w:val="24"/>
          <w:lang w:eastAsia="en-US"/>
        </w:rPr>
      </w:pPr>
      <w:r w:rsidRPr="002460B8">
        <w:rPr>
          <w:b/>
          <w:bCs/>
          <w:color w:val="000000"/>
          <w:sz w:val="24"/>
          <w:szCs w:val="24"/>
          <w:lang w:eastAsia="en-US"/>
        </w:rPr>
        <w:t xml:space="preserve">Działka </w:t>
      </w:r>
      <w:r w:rsidR="007F6035">
        <w:rPr>
          <w:b/>
          <w:bCs/>
          <w:color w:val="000000"/>
          <w:sz w:val="24"/>
          <w:szCs w:val="24"/>
          <w:lang w:eastAsia="en-US"/>
        </w:rPr>
        <w:t>21/7</w:t>
      </w:r>
      <w:r w:rsidRPr="002460B8">
        <w:rPr>
          <w:b/>
          <w:bCs/>
          <w:color w:val="000000"/>
          <w:sz w:val="24"/>
          <w:szCs w:val="24"/>
          <w:lang w:eastAsia="en-US"/>
        </w:rPr>
        <w:t xml:space="preserve"> obręb </w:t>
      </w:r>
      <w:r w:rsidR="007F6035">
        <w:rPr>
          <w:b/>
          <w:bCs/>
          <w:color w:val="000000"/>
          <w:sz w:val="24"/>
          <w:szCs w:val="24"/>
          <w:lang w:eastAsia="en-US"/>
        </w:rPr>
        <w:t>Donatowo</w:t>
      </w:r>
    </w:p>
    <w:p w14:paraId="52EE7C8A" w14:textId="77777777" w:rsidR="007F6035" w:rsidRPr="002460B8" w:rsidRDefault="007F6035" w:rsidP="00942423">
      <w:pPr>
        <w:overflowPunct/>
        <w:jc w:val="both"/>
        <w:textAlignment w:val="auto"/>
        <w:rPr>
          <w:b/>
          <w:bCs/>
          <w:color w:val="000000"/>
          <w:sz w:val="24"/>
          <w:szCs w:val="24"/>
          <w:lang w:eastAsia="en-US"/>
        </w:rPr>
      </w:pPr>
    </w:p>
    <w:p w14:paraId="48834A84" w14:textId="77777777" w:rsidR="007F6035" w:rsidRPr="007F6035" w:rsidRDefault="007F6035" w:rsidP="007F6035">
      <w:pPr>
        <w:overflowPunct/>
        <w:autoSpaceDE/>
        <w:autoSpaceDN/>
        <w:adjustRightInd/>
        <w:spacing w:line="259" w:lineRule="auto"/>
        <w:jc w:val="both"/>
        <w:textAlignment w:val="auto"/>
        <w:rPr>
          <w:rFonts w:eastAsiaTheme="minorHAnsi"/>
          <w:sz w:val="24"/>
          <w:szCs w:val="24"/>
          <w:lang w:eastAsia="en-US"/>
        </w:rPr>
      </w:pPr>
      <w:r w:rsidRPr="007F6035">
        <w:rPr>
          <w:rFonts w:eastAsiaTheme="minorHAnsi"/>
          <w:sz w:val="24"/>
          <w:szCs w:val="24"/>
          <w:lang w:eastAsia="en-US"/>
        </w:rPr>
        <w:t xml:space="preserve">nieruchomość niezabudowana, częściowo ogrodzona (ogrodzenie nieruchomości sąsiednich), położona w II linii zabudowy, w centralnej części wsi Donatowo. Teren jest względnie płaski, użytkowany rolniczo. Nieruchomość nie posiada dostępu do sieci uzbrojenia terenu, kształt działki jest foremny zbliżony do trapezu, bezpośrednie sąsiedztwo stanowi zabudowa mieszkaniowa jednorodzinna i zabudowa zagrodowa.  </w:t>
      </w:r>
    </w:p>
    <w:p w14:paraId="21DFD7C0" w14:textId="77777777" w:rsidR="00084CFA" w:rsidRPr="002460B8" w:rsidRDefault="00084CFA" w:rsidP="00084CFA">
      <w:pPr>
        <w:pStyle w:val="Default"/>
        <w:jc w:val="both"/>
      </w:pPr>
    </w:p>
    <w:p w14:paraId="4255487E" w14:textId="34AEEE12" w:rsidR="00686FB0" w:rsidRDefault="00084CFA" w:rsidP="00084CFA">
      <w:pPr>
        <w:spacing w:after="240"/>
        <w:jc w:val="both"/>
        <w:rPr>
          <w:rFonts w:eastAsia="Lucida Sans Unicode"/>
          <w:kern w:val="3"/>
          <w:sz w:val="24"/>
          <w:szCs w:val="24"/>
          <w:lang w:eastAsia="zh-CN" w:bidi="hi-IN"/>
        </w:rPr>
      </w:pPr>
      <w:r w:rsidRPr="002460B8">
        <w:rPr>
          <w:rFonts w:eastAsia="Lucida Sans Unicode"/>
          <w:kern w:val="3"/>
          <w:sz w:val="24"/>
          <w:szCs w:val="24"/>
          <w:lang w:eastAsia="zh-CN" w:bidi="hi-IN"/>
        </w:rPr>
        <w:t>Nieruchomoś</w:t>
      </w:r>
      <w:r w:rsidR="001D60EC" w:rsidRPr="002460B8">
        <w:rPr>
          <w:rFonts w:eastAsia="Lucida Sans Unicode"/>
          <w:kern w:val="3"/>
          <w:sz w:val="24"/>
          <w:szCs w:val="24"/>
          <w:lang w:eastAsia="zh-CN" w:bidi="hi-IN"/>
        </w:rPr>
        <w:t>ci</w:t>
      </w:r>
      <w:r w:rsidRPr="002460B8">
        <w:rPr>
          <w:rFonts w:eastAsia="Lucida Sans Unicode"/>
          <w:kern w:val="3"/>
          <w:sz w:val="24"/>
          <w:szCs w:val="24"/>
          <w:lang w:eastAsia="zh-CN" w:bidi="hi-IN"/>
        </w:rPr>
        <w:t xml:space="preserve"> sprzedawan</w:t>
      </w:r>
      <w:r w:rsidR="001D60EC" w:rsidRPr="002460B8">
        <w:rPr>
          <w:rFonts w:eastAsia="Lucida Sans Unicode"/>
          <w:kern w:val="3"/>
          <w:sz w:val="24"/>
          <w:szCs w:val="24"/>
          <w:lang w:eastAsia="zh-CN" w:bidi="hi-IN"/>
        </w:rPr>
        <w:t>e</w:t>
      </w:r>
      <w:r w:rsidRPr="002460B8">
        <w:rPr>
          <w:rFonts w:eastAsia="Lucida Sans Unicode"/>
          <w:kern w:val="3"/>
          <w:sz w:val="24"/>
          <w:szCs w:val="24"/>
          <w:lang w:eastAsia="zh-CN" w:bidi="hi-IN"/>
        </w:rPr>
        <w:t xml:space="preserve"> </w:t>
      </w:r>
      <w:r w:rsidR="001D60EC" w:rsidRPr="002460B8">
        <w:rPr>
          <w:rFonts w:eastAsia="Lucida Sans Unicode"/>
          <w:kern w:val="3"/>
          <w:sz w:val="24"/>
          <w:szCs w:val="24"/>
          <w:lang w:eastAsia="zh-CN" w:bidi="hi-IN"/>
        </w:rPr>
        <w:t>są</w:t>
      </w:r>
      <w:r w:rsidRPr="002460B8">
        <w:rPr>
          <w:rFonts w:eastAsia="Lucida Sans Unicode"/>
          <w:kern w:val="3"/>
          <w:sz w:val="24"/>
          <w:szCs w:val="24"/>
          <w:lang w:eastAsia="zh-CN" w:bidi="hi-IN"/>
        </w:rPr>
        <w:t xml:space="preserve"> na podstawie danych z ewidencji geodezyjnej gruntów,</w:t>
      </w:r>
      <w:r w:rsidR="001D60EC" w:rsidRPr="002460B8">
        <w:rPr>
          <w:rFonts w:eastAsia="Lucida Sans Unicode"/>
          <w:kern w:val="3"/>
          <w:sz w:val="24"/>
          <w:szCs w:val="24"/>
          <w:lang w:eastAsia="zh-CN" w:bidi="hi-IN"/>
        </w:rPr>
        <w:t xml:space="preserve"> </w:t>
      </w:r>
      <w:r w:rsidRPr="002460B8">
        <w:rPr>
          <w:rFonts w:eastAsia="Lucida Sans Unicode"/>
          <w:kern w:val="3"/>
          <w:sz w:val="24"/>
          <w:szCs w:val="24"/>
          <w:lang w:eastAsia="zh-CN" w:bidi="hi-IN"/>
        </w:rPr>
        <w:t>a wznawianie granic odbywa się na koszt i staraniem kupującego.</w:t>
      </w:r>
    </w:p>
    <w:p w14:paraId="3FEF27BB" w14:textId="7BCE7339" w:rsidR="00A3115C" w:rsidRPr="002460B8" w:rsidRDefault="00A3115C" w:rsidP="00084CFA">
      <w:pPr>
        <w:spacing w:after="240"/>
        <w:jc w:val="both"/>
        <w:rPr>
          <w:rFonts w:eastAsia="Lucida Sans Unicode"/>
          <w:kern w:val="3"/>
          <w:sz w:val="24"/>
          <w:szCs w:val="24"/>
          <w:lang w:eastAsia="zh-CN" w:bidi="hi-IN"/>
        </w:rPr>
      </w:pPr>
      <w:r>
        <w:rPr>
          <w:rFonts w:eastAsiaTheme="minorHAnsi"/>
          <w:sz w:val="24"/>
          <w:szCs w:val="24"/>
          <w:lang w:eastAsia="en-US"/>
        </w:rPr>
        <w:t>Termin zagospodarowania nieruchomości – nie dotyczy.</w:t>
      </w:r>
    </w:p>
    <w:p w14:paraId="67A243B1" w14:textId="6A620103" w:rsidR="00084CFA" w:rsidRPr="002460B8" w:rsidRDefault="00084CFA" w:rsidP="00084CFA">
      <w:pPr>
        <w:jc w:val="both"/>
        <w:rPr>
          <w:rFonts w:eastAsia="Lucida Sans Unicode"/>
          <w:b/>
          <w:kern w:val="3"/>
          <w:sz w:val="24"/>
          <w:szCs w:val="24"/>
          <w:lang w:eastAsia="zh-CN" w:bidi="hi-IN"/>
        </w:rPr>
      </w:pPr>
      <w:r w:rsidRPr="002460B8">
        <w:rPr>
          <w:rFonts w:eastAsia="Lucida Sans Unicode"/>
          <w:b/>
          <w:kern w:val="3"/>
          <w:sz w:val="24"/>
          <w:szCs w:val="24"/>
          <w:lang w:eastAsia="zh-CN" w:bidi="hi-IN"/>
        </w:rPr>
        <w:t>Pozostałe informacje:</w:t>
      </w:r>
    </w:p>
    <w:p w14:paraId="4CCDB65E" w14:textId="77777777" w:rsidR="00084CFA" w:rsidRPr="002460B8" w:rsidRDefault="00084CFA" w:rsidP="00084CFA">
      <w:pPr>
        <w:jc w:val="both"/>
        <w:rPr>
          <w:rFonts w:eastAsia="Lucida Sans Unicode"/>
          <w:b/>
          <w:kern w:val="3"/>
          <w:sz w:val="24"/>
          <w:szCs w:val="24"/>
          <w:lang w:eastAsia="zh-CN" w:bidi="hi-IN"/>
        </w:rPr>
      </w:pPr>
    </w:p>
    <w:bookmarkEnd w:id="0"/>
    <w:p w14:paraId="570BD8C8" w14:textId="6B76A1EC" w:rsidR="00084CFA" w:rsidRPr="002460B8" w:rsidRDefault="00084CFA" w:rsidP="00084CFA">
      <w:pPr>
        <w:jc w:val="both"/>
        <w:rPr>
          <w:sz w:val="24"/>
          <w:szCs w:val="24"/>
        </w:rPr>
      </w:pPr>
      <w:r w:rsidRPr="002460B8">
        <w:rPr>
          <w:sz w:val="24"/>
          <w:szCs w:val="24"/>
        </w:rPr>
        <w:t xml:space="preserve">Wadium wpłacone przez uczestnika przetargu, który przetarg wygrał, zostanie zaliczone na poczet ceny zakupu, zaś pozostałym uczestnikom przetargu wadium zostanie zwrócone niezwłocznie </w:t>
      </w:r>
      <w:r w:rsidR="00942423">
        <w:rPr>
          <w:sz w:val="24"/>
          <w:szCs w:val="24"/>
        </w:rPr>
        <w:br/>
      </w:r>
      <w:r w:rsidRPr="002460B8">
        <w:rPr>
          <w:sz w:val="24"/>
          <w:szCs w:val="24"/>
        </w:rPr>
        <w:t xml:space="preserve">po jego zakończeniu, jednak nie później niż przed upływem 3 dni od dnia odwołania </w:t>
      </w:r>
      <w:r w:rsidR="00942423">
        <w:rPr>
          <w:sz w:val="24"/>
          <w:szCs w:val="24"/>
        </w:rPr>
        <w:br/>
      </w:r>
      <w:r w:rsidRPr="002460B8">
        <w:rPr>
          <w:sz w:val="24"/>
          <w:szCs w:val="24"/>
        </w:rPr>
        <w:t xml:space="preserve">lub zakończenia przetargu. </w:t>
      </w:r>
    </w:p>
    <w:p w14:paraId="60A070CF" w14:textId="77777777" w:rsidR="00084CFA" w:rsidRPr="002460B8" w:rsidRDefault="00084CFA" w:rsidP="00084CFA">
      <w:pPr>
        <w:jc w:val="both"/>
        <w:rPr>
          <w:sz w:val="24"/>
          <w:szCs w:val="24"/>
        </w:rPr>
      </w:pPr>
    </w:p>
    <w:p w14:paraId="7C8857AE" w14:textId="74BE758A" w:rsidR="00084CFA" w:rsidRPr="002460B8" w:rsidRDefault="00084CFA" w:rsidP="00084CFA">
      <w:pPr>
        <w:jc w:val="both"/>
        <w:rPr>
          <w:sz w:val="24"/>
          <w:szCs w:val="24"/>
        </w:rPr>
      </w:pPr>
      <w:r w:rsidRPr="002460B8">
        <w:rPr>
          <w:sz w:val="24"/>
          <w:szCs w:val="24"/>
        </w:rPr>
        <w:t xml:space="preserve">Wadium przepada na rzecz organizatora przetargu jeżeli uczestnik, który przetarg wygrał uchyli się od zawarcia umowy. </w:t>
      </w:r>
    </w:p>
    <w:p w14:paraId="49B034CE" w14:textId="77777777" w:rsidR="00084CFA" w:rsidRPr="002460B8" w:rsidRDefault="00084CFA" w:rsidP="00084CFA">
      <w:pPr>
        <w:jc w:val="both"/>
        <w:rPr>
          <w:sz w:val="24"/>
          <w:szCs w:val="24"/>
        </w:rPr>
      </w:pPr>
    </w:p>
    <w:p w14:paraId="1598A50D" w14:textId="3843412A" w:rsidR="00084CFA" w:rsidRPr="002460B8" w:rsidRDefault="00084CFA" w:rsidP="00084CFA">
      <w:pPr>
        <w:jc w:val="both"/>
        <w:rPr>
          <w:sz w:val="24"/>
          <w:szCs w:val="24"/>
        </w:rPr>
      </w:pPr>
      <w:r w:rsidRPr="002460B8">
        <w:rPr>
          <w:sz w:val="24"/>
          <w:szCs w:val="24"/>
        </w:rPr>
        <w:t xml:space="preserve">Koszty zawarcia umowy ponosi kupujący. </w:t>
      </w:r>
    </w:p>
    <w:p w14:paraId="355A676B" w14:textId="77777777" w:rsidR="00084CFA" w:rsidRPr="002460B8" w:rsidRDefault="00084CFA" w:rsidP="00084CFA">
      <w:pPr>
        <w:jc w:val="both"/>
        <w:rPr>
          <w:sz w:val="24"/>
          <w:szCs w:val="24"/>
        </w:rPr>
      </w:pPr>
    </w:p>
    <w:p w14:paraId="3D1652EB" w14:textId="52D4F15F" w:rsidR="00084CFA" w:rsidRPr="002460B8" w:rsidRDefault="00084CFA" w:rsidP="00084CFA">
      <w:pPr>
        <w:jc w:val="both"/>
        <w:rPr>
          <w:sz w:val="24"/>
          <w:szCs w:val="24"/>
        </w:rPr>
      </w:pPr>
      <w:r w:rsidRPr="002460B8">
        <w:rPr>
          <w:sz w:val="24"/>
          <w:szCs w:val="24"/>
        </w:rPr>
        <w:t xml:space="preserve">Uczestnicy biorą udział w przetargu osobiście lub przez pełnomocnika. Pełnomocnictwo winno być sporządzone formie pisemnej. Pełnomocnictwo należy przedłożyć w oryginale. </w:t>
      </w:r>
    </w:p>
    <w:p w14:paraId="4171ECA1" w14:textId="4E3CABBE" w:rsidR="00084CFA" w:rsidRPr="002460B8" w:rsidRDefault="00084CFA" w:rsidP="00084CFA">
      <w:pPr>
        <w:jc w:val="both"/>
        <w:rPr>
          <w:sz w:val="24"/>
          <w:szCs w:val="24"/>
        </w:rPr>
      </w:pPr>
      <w:r w:rsidRPr="002460B8">
        <w:rPr>
          <w:sz w:val="24"/>
          <w:szCs w:val="24"/>
        </w:rPr>
        <w:t xml:space="preserve">W przypadku osób fizycznych pozostających w związku małżeńskim (w tym prowadzących działalność gospodarczą) posiadających ustawową wspólność majątkową, do udziału w przetargu wymagana jest obecność obojga małżonków lub jednego z nich z pełnomocnictwem drugiego małżonka upoważniającym do odpłatnego nabycia nieruchomości, lub – złożoną w formie pisemnej zgodą współmałżonka nie biorącego udziału w przetargu na przystąpienie małżonka </w:t>
      </w:r>
      <w:r w:rsidRPr="002460B8">
        <w:rPr>
          <w:sz w:val="24"/>
          <w:szCs w:val="24"/>
        </w:rPr>
        <w:br/>
        <w:t xml:space="preserve">do przetargu i odpłatne nabycie nieruchomości za cenę ustaloną w przetargu, które </w:t>
      </w:r>
      <w:r w:rsidRPr="002460B8">
        <w:rPr>
          <w:sz w:val="24"/>
          <w:szCs w:val="24"/>
        </w:rPr>
        <w:br/>
        <w:t xml:space="preserve">to pełnomocnictwo (zgoda) zostanie przedłożone komisji przetargowej przed przystąpieniem </w:t>
      </w:r>
      <w:r w:rsidRPr="002460B8">
        <w:rPr>
          <w:sz w:val="24"/>
          <w:szCs w:val="24"/>
        </w:rPr>
        <w:br/>
        <w:t xml:space="preserve">do przetargu. </w:t>
      </w:r>
    </w:p>
    <w:p w14:paraId="797073E5" w14:textId="089576E3" w:rsidR="00084CFA" w:rsidRPr="002460B8" w:rsidRDefault="00084CFA" w:rsidP="00084CFA">
      <w:pPr>
        <w:jc w:val="both"/>
        <w:rPr>
          <w:sz w:val="24"/>
          <w:szCs w:val="24"/>
        </w:rPr>
      </w:pPr>
      <w:r w:rsidRPr="002460B8">
        <w:rPr>
          <w:sz w:val="24"/>
          <w:szCs w:val="24"/>
        </w:rPr>
        <w:t xml:space="preserve">W przypadku posiadania rozdzielności majątkowej, należy przed przystąpieniem do przetargu przedłożyć komisji przetargowej dokument potwierdzający rozdzielność majątkową (umowę </w:t>
      </w:r>
      <w:r w:rsidRPr="002460B8">
        <w:rPr>
          <w:sz w:val="24"/>
          <w:szCs w:val="24"/>
        </w:rPr>
        <w:br/>
        <w:t>o rozdzielności majątkowej współmałżonków względnie stosowny wyrok sądu).</w:t>
      </w:r>
    </w:p>
    <w:p w14:paraId="2C333010" w14:textId="68FE944A" w:rsidR="00084CFA" w:rsidRPr="002460B8" w:rsidRDefault="00084CFA" w:rsidP="00084CFA">
      <w:pPr>
        <w:jc w:val="both"/>
        <w:rPr>
          <w:sz w:val="24"/>
          <w:szCs w:val="24"/>
        </w:rPr>
      </w:pPr>
      <w:r w:rsidRPr="002460B8">
        <w:rPr>
          <w:sz w:val="24"/>
          <w:szCs w:val="24"/>
        </w:rPr>
        <w:t>Szczegółowe informacje można uzyskać w Urzędzie Gminy w Czempiniu, ul. ks. Jerzego Popiełuszki 25, telefonicznie (61) 28 26 703 wew. 107</w:t>
      </w:r>
      <w:r w:rsidR="002460B8" w:rsidRPr="002460B8">
        <w:rPr>
          <w:sz w:val="24"/>
          <w:szCs w:val="24"/>
        </w:rPr>
        <w:t>)</w:t>
      </w:r>
      <w:r w:rsidRPr="002460B8">
        <w:rPr>
          <w:sz w:val="24"/>
          <w:szCs w:val="24"/>
        </w:rPr>
        <w:t xml:space="preserve"> lub email. </w:t>
      </w:r>
      <w:hyperlink r:id="rId4" w:history="1">
        <w:r w:rsidRPr="002460B8">
          <w:rPr>
            <w:rStyle w:val="Hipercze"/>
            <w:color w:val="auto"/>
            <w:sz w:val="24"/>
            <w:szCs w:val="24"/>
            <w:u w:val="none"/>
          </w:rPr>
          <w:t>a.kochanowicz@ug.czempin.pl</w:t>
        </w:r>
      </w:hyperlink>
      <w:r w:rsidRPr="002460B8">
        <w:rPr>
          <w:sz w:val="24"/>
          <w:szCs w:val="24"/>
        </w:rPr>
        <w:t xml:space="preserve"> </w:t>
      </w:r>
    </w:p>
    <w:p w14:paraId="04131E1C" w14:textId="42C7901B" w:rsidR="00084CFA" w:rsidRPr="002460B8" w:rsidRDefault="00084CFA" w:rsidP="00084CFA">
      <w:pPr>
        <w:jc w:val="both"/>
        <w:rPr>
          <w:sz w:val="24"/>
          <w:szCs w:val="24"/>
        </w:rPr>
      </w:pPr>
      <w:r w:rsidRPr="002460B8">
        <w:rPr>
          <w:sz w:val="24"/>
          <w:szCs w:val="24"/>
        </w:rPr>
        <w:t xml:space="preserve">Burmistrz Gminy zastrzega sobie prawo odwołania przetargu jedynie z ważnych powodów o czym zawiadomi podając przyczyny odwołania. </w:t>
      </w:r>
    </w:p>
    <w:p w14:paraId="77E04E47" w14:textId="77777777" w:rsidR="006150D2" w:rsidRDefault="006150D2" w:rsidP="00686FB0">
      <w:pPr>
        <w:jc w:val="both"/>
        <w:rPr>
          <w:sz w:val="24"/>
          <w:szCs w:val="24"/>
        </w:rPr>
      </w:pPr>
    </w:p>
    <w:p w14:paraId="0847F86E" w14:textId="77777777" w:rsidR="006150D2" w:rsidRDefault="006150D2" w:rsidP="006150D2">
      <w:pPr>
        <w:ind w:left="5664" w:firstLine="708"/>
        <w:jc w:val="both"/>
        <w:rPr>
          <w:sz w:val="24"/>
          <w:szCs w:val="24"/>
        </w:rPr>
      </w:pPr>
      <w:r>
        <w:rPr>
          <w:sz w:val="24"/>
          <w:szCs w:val="24"/>
        </w:rPr>
        <w:t xml:space="preserve">Konrad Malicki </w:t>
      </w:r>
    </w:p>
    <w:p w14:paraId="76188743" w14:textId="542D1A80" w:rsidR="00F8493E" w:rsidRPr="002460B8" w:rsidRDefault="006150D2" w:rsidP="006150D2">
      <w:pPr>
        <w:ind w:left="4956" w:firstLine="708"/>
        <w:jc w:val="both"/>
        <w:rPr>
          <w:sz w:val="24"/>
          <w:szCs w:val="24"/>
        </w:rPr>
      </w:pPr>
      <w:r>
        <w:rPr>
          <w:sz w:val="24"/>
          <w:szCs w:val="24"/>
        </w:rPr>
        <w:t xml:space="preserve">  Burmistrz Gminy Czempiń</w:t>
      </w:r>
      <w:r w:rsidR="00D50752">
        <w:rPr>
          <w:sz w:val="24"/>
          <w:szCs w:val="24"/>
        </w:rPr>
        <w:tab/>
      </w:r>
      <w:r w:rsidR="00D50752">
        <w:rPr>
          <w:sz w:val="24"/>
          <w:szCs w:val="24"/>
        </w:rPr>
        <w:tab/>
      </w:r>
      <w:r w:rsidR="00D50752">
        <w:rPr>
          <w:sz w:val="24"/>
          <w:szCs w:val="24"/>
        </w:rPr>
        <w:tab/>
      </w:r>
      <w:r w:rsidR="00942423">
        <w:rPr>
          <w:sz w:val="24"/>
          <w:szCs w:val="24"/>
        </w:rPr>
        <w:tab/>
      </w:r>
      <w:r w:rsidR="00F8493E">
        <w:rPr>
          <w:sz w:val="24"/>
          <w:szCs w:val="24"/>
        </w:rPr>
        <w:t xml:space="preserve"> </w:t>
      </w:r>
    </w:p>
    <w:sectPr w:rsidR="00F8493E" w:rsidRPr="002460B8" w:rsidSect="00DB2B1A">
      <w:pgSz w:w="11906" w:h="16838"/>
      <w:pgMar w:top="1418" w:right="1133"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52"/>
    <w:rsid w:val="00047CF1"/>
    <w:rsid w:val="00084CFA"/>
    <w:rsid w:val="00087946"/>
    <w:rsid w:val="00144E86"/>
    <w:rsid w:val="00186BE5"/>
    <w:rsid w:val="001923A0"/>
    <w:rsid w:val="001A54EF"/>
    <w:rsid w:val="001D5C55"/>
    <w:rsid w:val="001D60EC"/>
    <w:rsid w:val="002367BB"/>
    <w:rsid w:val="002460B8"/>
    <w:rsid w:val="00255920"/>
    <w:rsid w:val="002F04F6"/>
    <w:rsid w:val="00314641"/>
    <w:rsid w:val="003D5930"/>
    <w:rsid w:val="00400D99"/>
    <w:rsid w:val="00421C05"/>
    <w:rsid w:val="00471127"/>
    <w:rsid w:val="00544013"/>
    <w:rsid w:val="00611351"/>
    <w:rsid w:val="006150D2"/>
    <w:rsid w:val="00686FB0"/>
    <w:rsid w:val="00697AFA"/>
    <w:rsid w:val="00711351"/>
    <w:rsid w:val="00727AE2"/>
    <w:rsid w:val="007D5252"/>
    <w:rsid w:val="007E2765"/>
    <w:rsid w:val="007F6035"/>
    <w:rsid w:val="00883423"/>
    <w:rsid w:val="008E1440"/>
    <w:rsid w:val="00942423"/>
    <w:rsid w:val="0094590F"/>
    <w:rsid w:val="00A3115C"/>
    <w:rsid w:val="00A9589B"/>
    <w:rsid w:val="00B0345C"/>
    <w:rsid w:val="00B16D45"/>
    <w:rsid w:val="00B2561E"/>
    <w:rsid w:val="00B8438D"/>
    <w:rsid w:val="00BB5F30"/>
    <w:rsid w:val="00BB73CE"/>
    <w:rsid w:val="00BC1E5A"/>
    <w:rsid w:val="00C13498"/>
    <w:rsid w:val="00D06284"/>
    <w:rsid w:val="00D45883"/>
    <w:rsid w:val="00D50752"/>
    <w:rsid w:val="00F8493E"/>
    <w:rsid w:val="00FB4C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4893"/>
  <w15:chartTrackingRefBased/>
  <w15:docId w15:val="{E977995E-47F0-4D46-885D-6A502B45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4CF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84CF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nhideWhenUsed/>
    <w:rsid w:val="00084C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kochanowicz@ug.czemp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751</Words>
  <Characters>4510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Akochanowicz</dc:creator>
  <cp:keywords/>
  <dc:description/>
  <cp:lastModifiedBy>Akochanowicz</cp:lastModifiedBy>
  <cp:revision>30</cp:revision>
  <cp:lastPrinted>2026-05-13T09:31:00Z</cp:lastPrinted>
  <dcterms:created xsi:type="dcterms:W3CDTF">2022-08-11T08:36:00Z</dcterms:created>
  <dcterms:modified xsi:type="dcterms:W3CDTF">2026-05-13T10:11:00Z</dcterms:modified>
</cp:coreProperties>
</file>